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670"/>
      </w:tblGrid>
      <w:tr w:rsidR="00C23FFB" w:rsidTr="00AF6951">
        <w:tc>
          <w:tcPr>
            <w:tcW w:w="4112" w:type="dxa"/>
          </w:tcPr>
          <w:p w:rsidR="00C23FFB" w:rsidRPr="00AF6951" w:rsidRDefault="00C23FFB" w:rsidP="009D336B">
            <w:pPr>
              <w:jc w:val="center"/>
              <w:rPr>
                <w:bCs/>
                <w:sz w:val="24"/>
                <w:szCs w:val="24"/>
              </w:rPr>
            </w:pPr>
            <w:bookmarkStart w:id="0" w:name="_GoBack"/>
            <w:bookmarkEnd w:id="0"/>
            <w:r w:rsidRPr="00AF6951">
              <w:rPr>
                <w:bCs/>
                <w:sz w:val="24"/>
                <w:szCs w:val="24"/>
              </w:rPr>
              <w:t>ỦY BAN NHÂN DÂN</w:t>
            </w:r>
          </w:p>
          <w:p w:rsidR="00C23FFB" w:rsidRPr="00AF6951" w:rsidRDefault="00C23FFB" w:rsidP="009D336B">
            <w:pPr>
              <w:jc w:val="center"/>
              <w:rPr>
                <w:bCs/>
                <w:sz w:val="24"/>
                <w:szCs w:val="24"/>
              </w:rPr>
            </w:pPr>
            <w:r w:rsidRPr="00AF6951">
              <w:rPr>
                <w:bCs/>
                <w:sz w:val="24"/>
                <w:szCs w:val="24"/>
              </w:rPr>
              <w:t>THÀNH PHỐ HÀ NỘI</w:t>
            </w:r>
          </w:p>
          <w:p w:rsidR="00AF6951" w:rsidRDefault="00AF6951" w:rsidP="009D336B">
            <w:pPr>
              <w:jc w:val="center"/>
              <w:rPr>
                <w:b/>
                <w:bCs/>
                <w:sz w:val="24"/>
                <w:szCs w:val="24"/>
              </w:rPr>
            </w:pPr>
            <w:r>
              <w:rPr>
                <w:b/>
                <w:bCs/>
                <w:sz w:val="24"/>
                <w:szCs w:val="24"/>
              </w:rPr>
              <w:t>SỞ KHOA HỌC VÀ CÔNG NGHỆ</w:t>
            </w:r>
          </w:p>
          <w:p w:rsidR="00C23FFB" w:rsidRDefault="00C23FFB" w:rsidP="009D336B">
            <w:pPr>
              <w:rPr>
                <w:b/>
                <w:bCs/>
                <w:sz w:val="24"/>
                <w:szCs w:val="24"/>
              </w:rPr>
            </w:pPr>
            <w:r>
              <w:rPr>
                <w:rFonts w:asciiTheme="minorHAnsi" w:hAnsiTheme="minorHAnsi"/>
                <w:noProof/>
                <w:sz w:val="22"/>
              </w:rPr>
              <mc:AlternateContent>
                <mc:Choice Requires="wps">
                  <w:drawing>
                    <wp:anchor distT="4294967295" distB="4294967295" distL="114300" distR="114300" simplePos="0" relativeHeight="251660288" behindDoc="0" locked="0" layoutInCell="1" allowOverlap="1" wp14:anchorId="0E4C2D97" wp14:editId="1B7DC037">
                      <wp:simplePos x="0" y="0"/>
                      <wp:positionH relativeFrom="column">
                        <wp:posOffset>232410</wp:posOffset>
                      </wp:positionH>
                      <wp:positionV relativeFrom="paragraph">
                        <wp:posOffset>34289</wp:posOffset>
                      </wp:positionV>
                      <wp:extent cx="14954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612A26"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3pt,2.7pt" to="136.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" strokecolor="#4472c4" strokeweight=".5pt">
                      <v:stroke joinstyle="miter"/>
                      <o:lock v:ext="edit" shapetype="f"/>
                    </v:line>
                  </w:pict>
                </mc:Fallback>
              </mc:AlternateContent>
            </w:r>
          </w:p>
        </w:tc>
        <w:tc>
          <w:tcPr>
            <w:tcW w:w="5670" w:type="dxa"/>
          </w:tcPr>
          <w:p w:rsidR="00C23FFB" w:rsidRDefault="00C23FFB" w:rsidP="009D336B">
            <w:pPr>
              <w:jc w:val="center"/>
              <w:rPr>
                <w:b/>
                <w:bCs/>
                <w:sz w:val="24"/>
                <w:szCs w:val="24"/>
              </w:rPr>
            </w:pPr>
            <w:r>
              <w:rPr>
                <w:b/>
                <w:bCs/>
                <w:sz w:val="24"/>
                <w:szCs w:val="24"/>
              </w:rPr>
              <w:t>CỘNG HÒA XÃ HỘI CHỦ NGHĨA VIỆT NAM</w:t>
            </w:r>
          </w:p>
          <w:p w:rsidR="00C23FFB" w:rsidRDefault="00C23FFB" w:rsidP="009D336B">
            <w:pPr>
              <w:jc w:val="center"/>
              <w:rPr>
                <w:b/>
                <w:bCs/>
                <w:sz w:val="24"/>
                <w:szCs w:val="24"/>
              </w:rPr>
            </w:pPr>
            <w:r>
              <w:rPr>
                <w:b/>
                <w:bCs/>
                <w:sz w:val="24"/>
                <w:szCs w:val="24"/>
              </w:rPr>
              <w:t>Độc lập - Tự do - Hạnh phúc</w:t>
            </w:r>
          </w:p>
          <w:p w:rsidR="00C23FFB" w:rsidRDefault="00C23FFB" w:rsidP="009D336B">
            <w:pPr>
              <w:jc w:val="center"/>
              <w:rPr>
                <w:b/>
                <w:bCs/>
                <w:sz w:val="24"/>
                <w:szCs w:val="24"/>
              </w:rPr>
            </w:pPr>
            <w:r>
              <w:rPr>
                <w:b/>
                <w:bCs/>
                <w:noProof/>
                <w:sz w:val="24"/>
                <w:szCs w:val="24"/>
              </w:rPr>
              <mc:AlternateContent>
                <mc:Choice Requires="wps">
                  <w:drawing>
                    <wp:anchor distT="4294967295" distB="4294967295" distL="114300" distR="114300" simplePos="0" relativeHeight="251659264" behindDoc="0" locked="0" layoutInCell="1" allowOverlap="1" wp14:anchorId="4243C6F6" wp14:editId="3D34A20F">
                      <wp:simplePos x="0" y="0"/>
                      <wp:positionH relativeFrom="column">
                        <wp:posOffset>1183640</wp:posOffset>
                      </wp:positionH>
                      <wp:positionV relativeFrom="paragraph">
                        <wp:posOffset>53339</wp:posOffset>
                      </wp:positionV>
                      <wp:extent cx="14954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9542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B616B"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3.2pt,4.2pt" to="210.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" strokecolor="#4472c4" strokeweight=".5pt">
                      <v:stroke joinstyle="miter"/>
                      <o:lock v:ext="edit" shapetype="f"/>
                    </v:line>
                  </w:pict>
                </mc:Fallback>
              </mc:AlternateContent>
            </w:r>
          </w:p>
        </w:tc>
      </w:tr>
      <w:tr w:rsidR="00C23FFB" w:rsidTr="00AF6951">
        <w:tc>
          <w:tcPr>
            <w:tcW w:w="4112" w:type="dxa"/>
          </w:tcPr>
          <w:p w:rsidR="00C23FFB" w:rsidRDefault="00C23FFB" w:rsidP="009D336B">
            <w:pPr>
              <w:jc w:val="center"/>
              <w:rPr>
                <w:sz w:val="26"/>
                <w:szCs w:val="26"/>
              </w:rPr>
            </w:pPr>
          </w:p>
        </w:tc>
        <w:tc>
          <w:tcPr>
            <w:tcW w:w="5670" w:type="dxa"/>
          </w:tcPr>
          <w:p w:rsidR="00C23FFB" w:rsidRDefault="00C23FFB" w:rsidP="009D336B">
            <w:pPr>
              <w:jc w:val="center"/>
              <w:rPr>
                <w:i/>
                <w:iCs/>
                <w:sz w:val="26"/>
                <w:szCs w:val="26"/>
              </w:rPr>
            </w:pPr>
            <w:r>
              <w:rPr>
                <w:i/>
                <w:iCs/>
                <w:sz w:val="26"/>
                <w:szCs w:val="26"/>
              </w:rPr>
              <w:t>Hà Nội, ngày … tháng … năm 2026</w:t>
            </w:r>
          </w:p>
          <w:p w:rsidR="007B77CE" w:rsidRDefault="007B77CE" w:rsidP="009D336B">
            <w:pPr>
              <w:jc w:val="center"/>
              <w:rPr>
                <w:i/>
                <w:iCs/>
                <w:sz w:val="26"/>
                <w:szCs w:val="26"/>
              </w:rPr>
            </w:pPr>
          </w:p>
        </w:tc>
      </w:tr>
    </w:tbl>
    <w:p w:rsidR="00836598" w:rsidRPr="00836598" w:rsidRDefault="007B77CE" w:rsidP="000954E9">
      <w:pPr>
        <w:spacing w:after="0" w:line="240" w:lineRule="auto"/>
        <w:jc w:val="center"/>
        <w:outlineLvl w:val="1"/>
        <w:rPr>
          <w:rFonts w:eastAsia="Times New Roman" w:cs="Times New Roman"/>
          <w:b/>
          <w:bCs/>
          <w:sz w:val="32"/>
          <w:szCs w:val="32"/>
        </w:rPr>
      </w:pPr>
      <w:r w:rsidRPr="00836598">
        <w:rPr>
          <w:rFonts w:eastAsia="Times New Roman" w:cs="Times New Roman"/>
          <w:b/>
          <w:bCs/>
          <w:sz w:val="32"/>
          <w:szCs w:val="32"/>
        </w:rPr>
        <w:t xml:space="preserve">Báo cáo đánh giá thực trạng quan hệ xã hội liên quan đến dự thảo Quyết định </w:t>
      </w:r>
      <w:r w:rsidR="00836598" w:rsidRPr="00836598">
        <w:rPr>
          <w:rFonts w:eastAsia="Times New Roman" w:cs="Times New Roman"/>
          <w:b/>
          <w:bCs/>
          <w:sz w:val="32"/>
          <w:szCs w:val="32"/>
        </w:rPr>
        <w:t>ban hành Quy định khoán chi trong thực hiện nhiệm vụ khoa học, công nghệ và đổi mới sáng tạo có sử dụng ngân sách thành phố Hà Nội</w:t>
      </w:r>
    </w:p>
    <w:p w:rsidR="00E7060F" w:rsidRPr="00E7060F" w:rsidRDefault="00E7060F" w:rsidP="00E7060F">
      <w:pPr>
        <w:spacing w:before="100" w:beforeAutospacing="1" w:after="100" w:afterAutospacing="1" w:line="240" w:lineRule="auto"/>
        <w:outlineLvl w:val="1"/>
        <w:rPr>
          <w:rFonts w:eastAsia="Times New Roman" w:cs="Times New Roman"/>
          <w:b/>
          <w:bCs/>
          <w:szCs w:val="28"/>
        </w:rPr>
      </w:pPr>
      <w:r w:rsidRPr="00E7060F">
        <w:rPr>
          <w:rFonts w:eastAsia="Times New Roman" w:cs="Times New Roman"/>
          <w:b/>
          <w:bCs/>
          <w:szCs w:val="28"/>
        </w:rPr>
        <w:t>I. Đánh giá thực trạng quan hệ xã hội liên quan đến dự thảo Quyết định</w:t>
      </w:r>
    </w:p>
    <w:p w:rsidR="00E7060F" w:rsidRPr="00E7060F" w:rsidRDefault="00E7060F" w:rsidP="00AF6951">
      <w:pPr>
        <w:spacing w:before="120" w:after="0" w:line="288" w:lineRule="auto"/>
        <w:ind w:firstLine="720"/>
        <w:jc w:val="both"/>
        <w:rPr>
          <w:rFonts w:eastAsia="Times New Roman" w:cs="Times New Roman"/>
          <w:szCs w:val="28"/>
        </w:rPr>
      </w:pPr>
      <w:r w:rsidRPr="00E7060F">
        <w:rPr>
          <w:rFonts w:eastAsia="Times New Roman" w:cs="Times New Roman"/>
          <w:szCs w:val="28"/>
        </w:rPr>
        <w:t xml:space="preserve">Dự thảo Quyết định quy định cơ chế khoán chi trong thực hiện nhiệm vụ khoa học, công nghệ và đổi mới sáng tạo có sử dụng ngân sách thành phố Hà Nội; điều chỉnh các quan hệ giữa cơ quan quản lý nhiệm vụ, cơ quan tài chính, Kho bạc Nhà nước/Quỹ phát triển </w:t>
      </w:r>
      <w:r w:rsidR="00AF6951">
        <w:rPr>
          <w:rFonts w:eastAsia="Times New Roman" w:cs="Times New Roman"/>
          <w:szCs w:val="28"/>
        </w:rPr>
        <w:t>khoa học, công nghệ và đổi mới sáng tạo</w:t>
      </w:r>
      <w:r w:rsidRPr="00E7060F">
        <w:rPr>
          <w:rFonts w:eastAsia="Times New Roman" w:cs="Times New Roman"/>
          <w:szCs w:val="28"/>
        </w:rPr>
        <w:t>, tổ chức chủ trì, chủ nhiệm nhiệm vụ, chuyên gia, đơn vị phối hợp và các tổ chức, cá nhân có liên quan. Nội dung dự thảo bao gồm nguyên tắc, điều kiện, phương thức khoán chi; lập, điều chỉnh dự toán; cấp phát, thanh toán, quyết toán; sử dụng kinh phí còn dư; kiểm tra, giám sát, công khai, quản trị rủi ro và trách nhiệm tổ chức thực hiện .</w:t>
      </w:r>
    </w:p>
    <w:p w:rsidR="00E7060F" w:rsidRPr="00E7060F" w:rsidRDefault="00E7060F" w:rsidP="00AF6951">
      <w:pPr>
        <w:spacing w:before="120" w:after="0" w:line="288" w:lineRule="auto"/>
        <w:ind w:firstLine="720"/>
        <w:jc w:val="both"/>
        <w:rPr>
          <w:rFonts w:eastAsia="Times New Roman" w:cs="Times New Roman"/>
          <w:szCs w:val="28"/>
        </w:rPr>
      </w:pPr>
      <w:r w:rsidRPr="00E7060F">
        <w:rPr>
          <w:rFonts w:eastAsia="Times New Roman" w:cs="Times New Roman"/>
          <w:szCs w:val="28"/>
        </w:rPr>
        <w:t xml:space="preserve">Thực tiễn quản lý nhiệm vụ </w:t>
      </w:r>
      <w:r w:rsidR="00AF6951">
        <w:rPr>
          <w:rFonts w:eastAsia="Times New Roman" w:cs="Times New Roman"/>
          <w:szCs w:val="28"/>
        </w:rPr>
        <w:t>khoa học, công nghệ và đổi mới sáng tạo</w:t>
      </w:r>
      <w:r w:rsidR="00AF6951" w:rsidRPr="00E7060F">
        <w:rPr>
          <w:rFonts w:eastAsia="Times New Roman" w:cs="Times New Roman"/>
          <w:szCs w:val="28"/>
        </w:rPr>
        <w:t xml:space="preserve"> </w:t>
      </w:r>
      <w:r w:rsidR="00AF6951">
        <w:rPr>
          <w:rFonts w:eastAsia="Times New Roman" w:cs="Times New Roman"/>
          <w:szCs w:val="28"/>
        </w:rPr>
        <w:t>(</w:t>
      </w:r>
      <w:r w:rsidRPr="00E7060F">
        <w:rPr>
          <w:rFonts w:eastAsia="Times New Roman" w:cs="Times New Roman"/>
          <w:szCs w:val="28"/>
        </w:rPr>
        <w:t>KH,</w:t>
      </w:r>
      <w:r w:rsidR="00AF6951">
        <w:rPr>
          <w:rFonts w:eastAsia="Times New Roman" w:cs="Times New Roman"/>
          <w:szCs w:val="28"/>
        </w:rPr>
        <w:t xml:space="preserve"> </w:t>
      </w:r>
      <w:r w:rsidRPr="00E7060F">
        <w:rPr>
          <w:rFonts w:eastAsia="Times New Roman" w:cs="Times New Roman"/>
          <w:szCs w:val="28"/>
        </w:rPr>
        <w:t>CN&amp;ĐMST</w:t>
      </w:r>
      <w:r w:rsidR="00AF6951">
        <w:rPr>
          <w:rFonts w:eastAsia="Times New Roman" w:cs="Times New Roman"/>
          <w:szCs w:val="28"/>
        </w:rPr>
        <w:t>)</w:t>
      </w:r>
      <w:r w:rsidRPr="00E7060F">
        <w:rPr>
          <w:rFonts w:eastAsia="Times New Roman" w:cs="Times New Roman"/>
          <w:szCs w:val="28"/>
        </w:rPr>
        <w:t xml:space="preserve"> cho thấy cơ chế quản lý kinh phí theo chứng từ đầu vào còn làm tăng thủ tục hành chính, hạn chế quyền chủ động của tổ chức chủ trì, chưa thật sự phù hợp với đặc thù nghiên cứu khoa học là có độ rủi ro, sáng tạo và khó lượng hóa toàn bộ chi phí đầu vào. Trong khi đó, yêu cầu hiện nay là chuyển mạnh từ quản lý theo quy trình, chứng từ sang quản lý theo kết quả, sản phẩm đầu ra, hiệu quả ứng dụng và trách nhiệm giải trình.</w:t>
      </w:r>
    </w:p>
    <w:p w:rsidR="00E7060F" w:rsidRPr="00E7060F" w:rsidRDefault="00E7060F" w:rsidP="00AF6951">
      <w:pPr>
        <w:spacing w:before="120" w:after="0" w:line="288" w:lineRule="auto"/>
        <w:ind w:firstLine="720"/>
        <w:jc w:val="both"/>
        <w:rPr>
          <w:rFonts w:eastAsia="Times New Roman" w:cs="Times New Roman"/>
          <w:szCs w:val="28"/>
        </w:rPr>
      </w:pPr>
      <w:r w:rsidRPr="00E7060F">
        <w:rPr>
          <w:rFonts w:eastAsia="Times New Roman" w:cs="Times New Roman"/>
          <w:szCs w:val="28"/>
        </w:rPr>
        <w:t>Quan hệ xã hội phát sinh trong lĩnh vực này đang có nhu cầu được điều chỉnh theo hướng: Nhà nước đặt hàng, giao nhiệm vụ và kiểm soát bằng mục tiêu, sản phẩm, chỉ tiêu chất lượng, tiến độ, khả năng ứng dụng; tổ chức chủ trì được tăng quyền tự chủ trong sử dụng kinh phí khoán; đồng thời phải chịu trách nhiệm về kết quả, công khai, minh bạch, quản trị rủi ro và hoàn trả kinh phí khi không hoàn thành hoặc sử dụng sai mục đích.</w:t>
      </w:r>
    </w:p>
    <w:p w:rsidR="004475D1" w:rsidRDefault="00E7060F" w:rsidP="00AF6951">
      <w:pPr>
        <w:spacing w:before="120" w:after="0" w:line="288" w:lineRule="auto"/>
        <w:ind w:firstLine="720"/>
        <w:jc w:val="both"/>
        <w:rPr>
          <w:rFonts w:eastAsia="Times New Roman" w:cs="Times New Roman"/>
          <w:szCs w:val="28"/>
        </w:rPr>
      </w:pPr>
      <w:r w:rsidRPr="00E7060F">
        <w:rPr>
          <w:rFonts w:eastAsia="Times New Roman" w:cs="Times New Roman"/>
          <w:szCs w:val="28"/>
        </w:rPr>
        <w:t xml:space="preserve">Việc ban hành Quyết định là cần thiết nhằm cụ thể hóa chủ trương của Đảng về đột phá phát triển khoa học, công nghệ, đổi mới sáng tạo và chuyển đổi số; đặc biệt là yêu cầu hoàn thiện thể chế, cải cách phương thức quản lý nhiệm vụ KH&amp;CN, cải cách cơ chế tài chính, đơn giản hóa thủ tục và giao quyền tự chủ </w:t>
      </w:r>
      <w:r w:rsidRPr="00E7060F">
        <w:rPr>
          <w:rFonts w:eastAsia="Times New Roman" w:cs="Times New Roman"/>
          <w:szCs w:val="28"/>
        </w:rPr>
        <w:lastRenderedPageBreak/>
        <w:t xml:space="preserve">trong sử dụng kinh phí nghiên cứu. Nghị quyết số 57-NQ/TW xác định thể chế là điều kiện tiên quyết, cần đi trước một bước và yêu cầu cải cách cơ chế quản lý tài chính trong thực hiện nhiệm vụ khoa học, công nghệ, đổi mới sáng tạo. </w:t>
      </w:r>
    </w:p>
    <w:p w:rsidR="00E7060F" w:rsidRPr="00E7060F" w:rsidRDefault="00E7060F" w:rsidP="00AF6951">
      <w:pPr>
        <w:spacing w:before="120" w:after="0" w:line="288" w:lineRule="auto"/>
        <w:ind w:firstLine="720"/>
        <w:jc w:val="both"/>
        <w:rPr>
          <w:rFonts w:eastAsia="Times New Roman" w:cs="Times New Roman"/>
          <w:szCs w:val="28"/>
        </w:rPr>
      </w:pPr>
      <w:r w:rsidRPr="00E7060F">
        <w:rPr>
          <w:rFonts w:eastAsia="Times New Roman" w:cs="Times New Roman"/>
          <w:szCs w:val="28"/>
        </w:rPr>
        <w:t xml:space="preserve">Dự thảo cũng phù hợp với định hướng phát triển Thủ đô là trung tâm lớn về khoa học, công nghệ, đổi mới sáng tạo và hội nhập quốc tế theo Nghị quyết số 15-NQ/TW của Bộ Chính trị về phát triển Thủ đô Hà Nội đến năm 2030, tầm nhìn đến năm 2045. Đồng thời, Luật Khoa học, công nghệ và đổi mới sáng tạo năm 2025 đã đặt ra yêu cầu gắn hoạt động KH,CN&amp;ĐMST với phát triển kinh tế - xã hội, coi doanh nghiệp là trung tâm của hệ thống đổi mới sáng tạo, khuyến khích cơ chế tài chính đặc thù và chia sẻ rủi ro trong nghiên cứu. </w:t>
      </w:r>
    </w:p>
    <w:p w:rsidR="00E7060F" w:rsidRPr="00E7060F" w:rsidRDefault="00E7060F" w:rsidP="00AF6951">
      <w:pPr>
        <w:spacing w:before="120" w:after="0" w:line="288" w:lineRule="auto"/>
        <w:ind w:firstLine="720"/>
        <w:jc w:val="both"/>
        <w:rPr>
          <w:rFonts w:eastAsia="Times New Roman" w:cs="Times New Roman"/>
          <w:szCs w:val="28"/>
        </w:rPr>
      </w:pPr>
      <w:r w:rsidRPr="00E7060F">
        <w:rPr>
          <w:rFonts w:eastAsia="Times New Roman" w:cs="Times New Roman"/>
          <w:szCs w:val="28"/>
        </w:rPr>
        <w:t>Việc ban hành Quyết định dự kiến tác động tích cực đến các nhóm quan hệ xã hội sau: giảm chi phí tuân thủ cho tổ chức chủ trì; nâng cao trách nhiệm của chủ nhiệm nhiệm vụ; tăng hiệu quả sử dụng ngân sách; thúc đẩy ứng dụng, chuyển giao, thương mại hóa kết quả nghiên cứu; tạo cơ sở để các sở, ngành, UBND cấp xã và cơ quan tài chính thực hiện thống nhất việc khoán chi. Tuy nhiên, cần thiết kế rõ điều kiện khoán, căn cứ nghiệm thu, cơ chế kiểm tra sau khoán, xử lý rủi ro và thu hồi kinh phí để phòng ngừa thất thoát, lạm dụng hoặc khoán chi hình thức.</w:t>
      </w:r>
    </w:p>
    <w:p w:rsidR="00E7060F" w:rsidRDefault="00E7060F" w:rsidP="004475D1">
      <w:pPr>
        <w:spacing w:before="100" w:beforeAutospacing="1" w:after="100" w:afterAutospacing="1" w:line="240" w:lineRule="auto"/>
        <w:jc w:val="both"/>
        <w:outlineLvl w:val="1"/>
        <w:rPr>
          <w:rFonts w:eastAsia="Times New Roman" w:cs="Times New Roman"/>
          <w:b/>
          <w:bCs/>
          <w:szCs w:val="28"/>
        </w:rPr>
      </w:pPr>
      <w:r w:rsidRPr="00E7060F">
        <w:rPr>
          <w:rFonts w:eastAsia="Times New Roman" w:cs="Times New Roman"/>
          <w:b/>
          <w:bCs/>
          <w:szCs w:val="28"/>
        </w:rPr>
        <w:t>II. Phụ lục rà soát chủ trương, đường lối của Đảng và văn bản QPPL có liên quan</w:t>
      </w:r>
    </w:p>
    <w:tbl>
      <w:tblPr>
        <w:tblStyle w:val="TableGrid"/>
        <w:tblW w:w="9782" w:type="dxa"/>
        <w:tblInd w:w="-431" w:type="dxa"/>
        <w:tblLook w:val="04A0" w:firstRow="1" w:lastRow="0" w:firstColumn="1" w:lastColumn="0" w:noHBand="0" w:noVBand="1"/>
      </w:tblPr>
      <w:tblGrid>
        <w:gridCol w:w="846"/>
        <w:gridCol w:w="2265"/>
        <w:gridCol w:w="2696"/>
        <w:gridCol w:w="3975"/>
      </w:tblGrid>
      <w:tr w:rsidR="004475D1" w:rsidRPr="004475D1" w:rsidTr="007B77CE">
        <w:trPr>
          <w:tblHeader/>
        </w:trPr>
        <w:tc>
          <w:tcPr>
            <w:tcW w:w="846" w:type="dxa"/>
            <w:vAlign w:val="center"/>
          </w:tcPr>
          <w:p w:rsidR="004475D1" w:rsidRPr="004475D1" w:rsidRDefault="004475D1" w:rsidP="004475D1">
            <w:pPr>
              <w:spacing w:before="120" w:after="120" w:line="288" w:lineRule="auto"/>
              <w:jc w:val="center"/>
              <w:outlineLvl w:val="1"/>
              <w:rPr>
                <w:rFonts w:eastAsia="Times New Roman"/>
                <w:b/>
                <w:bCs/>
                <w:sz w:val="26"/>
                <w:szCs w:val="26"/>
              </w:rPr>
            </w:pPr>
            <w:r w:rsidRPr="004475D1">
              <w:rPr>
                <w:rFonts w:eastAsia="Times New Roman"/>
                <w:b/>
                <w:bCs/>
                <w:sz w:val="26"/>
                <w:szCs w:val="26"/>
              </w:rPr>
              <w:t>STT</w:t>
            </w:r>
          </w:p>
        </w:tc>
        <w:tc>
          <w:tcPr>
            <w:tcW w:w="2265" w:type="dxa"/>
          </w:tcPr>
          <w:p w:rsidR="004475D1" w:rsidRPr="004475D1" w:rsidRDefault="004475D1" w:rsidP="004475D1">
            <w:pPr>
              <w:spacing w:before="120" w:after="120" w:line="288" w:lineRule="auto"/>
              <w:jc w:val="center"/>
              <w:outlineLvl w:val="1"/>
              <w:rPr>
                <w:rFonts w:eastAsia="Times New Roman"/>
                <w:b/>
                <w:bCs/>
                <w:sz w:val="26"/>
                <w:szCs w:val="26"/>
              </w:rPr>
            </w:pPr>
            <w:r>
              <w:rPr>
                <w:rFonts w:eastAsia="Times New Roman"/>
                <w:b/>
                <w:bCs/>
                <w:sz w:val="26"/>
                <w:szCs w:val="26"/>
              </w:rPr>
              <w:t>Văn bản</w:t>
            </w:r>
          </w:p>
        </w:tc>
        <w:tc>
          <w:tcPr>
            <w:tcW w:w="2696" w:type="dxa"/>
          </w:tcPr>
          <w:p w:rsidR="004475D1" w:rsidRPr="004475D1" w:rsidRDefault="004475D1" w:rsidP="004475D1">
            <w:pPr>
              <w:spacing w:before="120" w:after="120" w:line="288" w:lineRule="auto"/>
              <w:jc w:val="center"/>
              <w:outlineLvl w:val="1"/>
              <w:rPr>
                <w:rFonts w:eastAsia="Times New Roman"/>
                <w:b/>
                <w:bCs/>
                <w:sz w:val="26"/>
                <w:szCs w:val="26"/>
              </w:rPr>
            </w:pPr>
            <w:r>
              <w:rPr>
                <w:rFonts w:eastAsia="Times New Roman"/>
                <w:b/>
                <w:bCs/>
                <w:sz w:val="26"/>
                <w:szCs w:val="26"/>
              </w:rPr>
              <w:t>Nội dung liên quan</w:t>
            </w:r>
          </w:p>
        </w:tc>
        <w:tc>
          <w:tcPr>
            <w:tcW w:w="3975" w:type="dxa"/>
          </w:tcPr>
          <w:p w:rsidR="004475D1" w:rsidRPr="004475D1" w:rsidRDefault="004475D1" w:rsidP="004475D1">
            <w:pPr>
              <w:spacing w:before="120" w:after="120" w:line="288" w:lineRule="auto"/>
              <w:jc w:val="center"/>
              <w:outlineLvl w:val="1"/>
              <w:rPr>
                <w:rFonts w:eastAsia="Times New Roman"/>
                <w:b/>
                <w:bCs/>
                <w:sz w:val="26"/>
                <w:szCs w:val="26"/>
              </w:rPr>
            </w:pPr>
            <w:r>
              <w:rPr>
                <w:rFonts w:eastAsia="Times New Roman"/>
                <w:b/>
                <w:bCs/>
                <w:sz w:val="26"/>
                <w:szCs w:val="26"/>
              </w:rPr>
              <w:t>Đánh giá liên quan đến dự thảo</w:t>
            </w:r>
          </w:p>
        </w:tc>
      </w:tr>
      <w:tr w:rsidR="004475D1" w:rsidRPr="004475D1" w:rsidTr="004475D1">
        <w:tc>
          <w:tcPr>
            <w:tcW w:w="846" w:type="dxa"/>
            <w:vAlign w:val="center"/>
          </w:tcPr>
          <w:p w:rsidR="004475D1" w:rsidRPr="004475D1" w:rsidRDefault="004475D1" w:rsidP="004475D1">
            <w:pPr>
              <w:spacing w:before="120" w:after="120" w:line="288" w:lineRule="auto"/>
              <w:jc w:val="center"/>
              <w:outlineLvl w:val="1"/>
              <w:rPr>
                <w:rFonts w:eastAsia="Times New Roman"/>
                <w:bCs/>
                <w:sz w:val="26"/>
                <w:szCs w:val="26"/>
              </w:rPr>
            </w:pPr>
            <w:r w:rsidRPr="004475D1">
              <w:rPr>
                <w:rFonts w:eastAsia="Times New Roman"/>
                <w:bCs/>
                <w:sz w:val="26"/>
                <w:szCs w:val="26"/>
              </w:rPr>
              <w:t>1</w:t>
            </w:r>
          </w:p>
        </w:tc>
        <w:tc>
          <w:tcPr>
            <w:tcW w:w="2265" w:type="dxa"/>
          </w:tcPr>
          <w:p w:rsidR="004475D1" w:rsidRPr="004475D1" w:rsidRDefault="008D60EE" w:rsidP="004475D1">
            <w:pPr>
              <w:spacing w:before="120" w:after="120" w:line="288" w:lineRule="auto"/>
              <w:jc w:val="both"/>
              <w:outlineLvl w:val="1"/>
              <w:rPr>
                <w:rFonts w:eastAsia="Times New Roman"/>
                <w:bCs/>
                <w:sz w:val="26"/>
                <w:szCs w:val="26"/>
              </w:rPr>
            </w:pPr>
            <w:r w:rsidRPr="00E7060F">
              <w:rPr>
                <w:rFonts w:eastAsia="Times New Roman"/>
                <w:sz w:val="28"/>
                <w:szCs w:val="28"/>
              </w:rPr>
              <w:t>Nghị quyết số 57-NQ/TW ngày 22/12/2024 của Bộ Chính trị</w:t>
            </w:r>
          </w:p>
        </w:tc>
        <w:tc>
          <w:tcPr>
            <w:tcW w:w="2696" w:type="dxa"/>
          </w:tcPr>
          <w:p w:rsidR="004475D1" w:rsidRPr="004475D1" w:rsidRDefault="008D60EE" w:rsidP="004475D1">
            <w:pPr>
              <w:spacing w:before="120" w:after="120" w:line="288" w:lineRule="auto"/>
              <w:jc w:val="both"/>
              <w:outlineLvl w:val="1"/>
              <w:rPr>
                <w:rFonts w:eastAsia="Times New Roman"/>
                <w:bCs/>
                <w:sz w:val="26"/>
                <w:szCs w:val="26"/>
              </w:rPr>
            </w:pPr>
            <w:r w:rsidRPr="00E7060F">
              <w:rPr>
                <w:rFonts w:eastAsia="Times New Roman"/>
                <w:sz w:val="28"/>
                <w:szCs w:val="28"/>
              </w:rPr>
              <w:t>Đột phá phát triển KH,CN,ĐMST và chuyển đổi số; hoàn thiện thể chế, cải cách cơ chế tài chính, giao quyền tự chủ sử dụng kinh phí nghiên cứu</w:t>
            </w:r>
          </w:p>
        </w:tc>
        <w:tc>
          <w:tcPr>
            <w:tcW w:w="3975" w:type="dxa"/>
          </w:tcPr>
          <w:p w:rsidR="004475D1" w:rsidRPr="004475D1" w:rsidRDefault="008D60EE" w:rsidP="004475D1">
            <w:pPr>
              <w:spacing w:before="120" w:after="120" w:line="288" w:lineRule="auto"/>
              <w:jc w:val="both"/>
              <w:outlineLvl w:val="1"/>
              <w:rPr>
                <w:rFonts w:eastAsia="Times New Roman"/>
                <w:bCs/>
                <w:sz w:val="26"/>
                <w:szCs w:val="26"/>
              </w:rPr>
            </w:pPr>
            <w:r w:rsidRPr="00E7060F">
              <w:rPr>
                <w:rFonts w:eastAsia="Times New Roman"/>
                <w:sz w:val="28"/>
                <w:szCs w:val="28"/>
              </w:rPr>
              <w:t>Là căn cứ chính trị trực tiếp, phù hợp với nội dung khoán chi theo sản phẩm, giảm thủ tục, tăng tự chủ.</w:t>
            </w:r>
          </w:p>
        </w:tc>
      </w:tr>
      <w:tr w:rsidR="004475D1" w:rsidRPr="004475D1" w:rsidTr="004475D1">
        <w:tc>
          <w:tcPr>
            <w:tcW w:w="846" w:type="dxa"/>
            <w:vAlign w:val="center"/>
          </w:tcPr>
          <w:p w:rsidR="004475D1" w:rsidRPr="004475D1" w:rsidRDefault="004475D1" w:rsidP="004475D1">
            <w:pPr>
              <w:spacing w:before="120" w:after="120" w:line="288" w:lineRule="auto"/>
              <w:jc w:val="center"/>
              <w:outlineLvl w:val="1"/>
              <w:rPr>
                <w:rFonts w:eastAsia="Times New Roman"/>
                <w:bCs/>
                <w:sz w:val="26"/>
                <w:szCs w:val="26"/>
              </w:rPr>
            </w:pPr>
            <w:r>
              <w:rPr>
                <w:rFonts w:eastAsia="Times New Roman"/>
                <w:bCs/>
                <w:sz w:val="26"/>
                <w:szCs w:val="26"/>
              </w:rPr>
              <w:t>2</w:t>
            </w:r>
          </w:p>
        </w:tc>
        <w:tc>
          <w:tcPr>
            <w:tcW w:w="2265" w:type="dxa"/>
          </w:tcPr>
          <w:p w:rsidR="004475D1" w:rsidRPr="004475D1" w:rsidRDefault="008D60EE" w:rsidP="004475D1">
            <w:pPr>
              <w:spacing w:before="120" w:after="120" w:line="288" w:lineRule="auto"/>
              <w:jc w:val="both"/>
              <w:outlineLvl w:val="1"/>
              <w:rPr>
                <w:rFonts w:eastAsia="Times New Roman"/>
                <w:bCs/>
                <w:sz w:val="26"/>
                <w:szCs w:val="26"/>
              </w:rPr>
            </w:pPr>
            <w:r w:rsidRPr="00E7060F">
              <w:rPr>
                <w:rFonts w:eastAsia="Times New Roman"/>
                <w:sz w:val="28"/>
                <w:szCs w:val="28"/>
              </w:rPr>
              <w:t>Nghị quyết số 15-NQ/TW ngày 05/5/2022 của Bộ Chính trị</w:t>
            </w:r>
          </w:p>
        </w:tc>
        <w:tc>
          <w:tcPr>
            <w:tcW w:w="2696" w:type="dxa"/>
          </w:tcPr>
          <w:p w:rsidR="004475D1" w:rsidRPr="004475D1" w:rsidRDefault="008D60EE" w:rsidP="004475D1">
            <w:pPr>
              <w:spacing w:before="120" w:after="120" w:line="288" w:lineRule="auto"/>
              <w:jc w:val="both"/>
              <w:outlineLvl w:val="1"/>
              <w:rPr>
                <w:rFonts w:eastAsia="Times New Roman"/>
                <w:bCs/>
                <w:sz w:val="26"/>
                <w:szCs w:val="26"/>
              </w:rPr>
            </w:pPr>
            <w:r w:rsidRPr="00E7060F">
              <w:rPr>
                <w:rFonts w:eastAsia="Times New Roman"/>
                <w:sz w:val="28"/>
                <w:szCs w:val="28"/>
              </w:rPr>
              <w:t>Phát triển Thủ đô Hà Nội đến năm 2030, tầm nhìn 2045; xây dựng Hà Nội là trung tâm lớn về khoa học, công nghệ.</w:t>
            </w:r>
          </w:p>
        </w:tc>
        <w:tc>
          <w:tcPr>
            <w:tcW w:w="3975" w:type="dxa"/>
          </w:tcPr>
          <w:p w:rsidR="004475D1" w:rsidRPr="004475D1" w:rsidRDefault="008D60EE" w:rsidP="004475D1">
            <w:pPr>
              <w:spacing w:before="120" w:after="120" w:line="288" w:lineRule="auto"/>
              <w:jc w:val="both"/>
              <w:outlineLvl w:val="1"/>
              <w:rPr>
                <w:rFonts w:eastAsia="Times New Roman"/>
                <w:bCs/>
                <w:sz w:val="26"/>
                <w:szCs w:val="26"/>
              </w:rPr>
            </w:pPr>
            <w:r w:rsidRPr="00E7060F">
              <w:rPr>
                <w:rFonts w:eastAsia="Times New Roman"/>
                <w:sz w:val="28"/>
                <w:szCs w:val="28"/>
              </w:rPr>
              <w:t>Dự thảo góp phần hoàn thiện cơ chế đặc thù để thúc đẩy nhiệm vụ KH,CN&amp;ĐMST của Thủ đô.</w:t>
            </w:r>
          </w:p>
        </w:tc>
      </w:tr>
      <w:tr w:rsidR="004475D1" w:rsidRPr="004475D1" w:rsidTr="004475D1">
        <w:tc>
          <w:tcPr>
            <w:tcW w:w="846" w:type="dxa"/>
            <w:vAlign w:val="center"/>
          </w:tcPr>
          <w:p w:rsidR="004475D1" w:rsidRPr="004475D1" w:rsidRDefault="004475D1" w:rsidP="004475D1">
            <w:pPr>
              <w:spacing w:before="120" w:after="120" w:line="288" w:lineRule="auto"/>
              <w:jc w:val="center"/>
              <w:outlineLvl w:val="1"/>
              <w:rPr>
                <w:rFonts w:eastAsia="Times New Roman"/>
                <w:bCs/>
                <w:sz w:val="26"/>
                <w:szCs w:val="26"/>
              </w:rPr>
            </w:pPr>
            <w:r>
              <w:rPr>
                <w:rFonts w:eastAsia="Times New Roman"/>
                <w:bCs/>
                <w:sz w:val="26"/>
                <w:szCs w:val="26"/>
              </w:rPr>
              <w:lastRenderedPageBreak/>
              <w:t>3</w:t>
            </w:r>
          </w:p>
        </w:tc>
        <w:tc>
          <w:tcPr>
            <w:tcW w:w="2265" w:type="dxa"/>
          </w:tcPr>
          <w:p w:rsidR="004475D1" w:rsidRPr="004475D1" w:rsidRDefault="008D60EE" w:rsidP="004475D1">
            <w:pPr>
              <w:spacing w:before="120" w:after="120" w:line="288" w:lineRule="auto"/>
              <w:jc w:val="both"/>
              <w:outlineLvl w:val="1"/>
              <w:rPr>
                <w:rFonts w:eastAsia="Times New Roman"/>
                <w:bCs/>
                <w:sz w:val="26"/>
                <w:szCs w:val="26"/>
              </w:rPr>
            </w:pPr>
            <w:r w:rsidRPr="00E7060F">
              <w:rPr>
                <w:rFonts w:eastAsia="Times New Roman"/>
                <w:sz w:val="28"/>
                <w:szCs w:val="28"/>
              </w:rPr>
              <w:t>Nghị quyết Đại hội XVII Đảng bộ thành phố Hà Nội nhiệm kỳ 2020–2025</w:t>
            </w:r>
          </w:p>
        </w:tc>
        <w:tc>
          <w:tcPr>
            <w:tcW w:w="2696" w:type="dxa"/>
          </w:tcPr>
          <w:p w:rsidR="004475D1" w:rsidRPr="004475D1" w:rsidRDefault="008D60EE" w:rsidP="004475D1">
            <w:pPr>
              <w:spacing w:before="120" w:after="120" w:line="288" w:lineRule="auto"/>
              <w:jc w:val="both"/>
              <w:outlineLvl w:val="1"/>
              <w:rPr>
                <w:rFonts w:eastAsia="Times New Roman"/>
                <w:bCs/>
                <w:sz w:val="26"/>
                <w:szCs w:val="26"/>
              </w:rPr>
            </w:pPr>
            <w:r w:rsidRPr="00E7060F">
              <w:rPr>
                <w:rFonts w:eastAsia="Times New Roman"/>
                <w:sz w:val="28"/>
                <w:szCs w:val="28"/>
              </w:rPr>
              <w:t>Định hướng phát triển Thủ đô, đổi mới mô hình tăng trưởng, phát huy khoa học, công nghệ.</w:t>
            </w:r>
          </w:p>
        </w:tc>
        <w:tc>
          <w:tcPr>
            <w:tcW w:w="3975" w:type="dxa"/>
          </w:tcPr>
          <w:p w:rsidR="004475D1" w:rsidRPr="004475D1" w:rsidRDefault="008D60EE" w:rsidP="004475D1">
            <w:pPr>
              <w:spacing w:before="120" w:after="120" w:line="288" w:lineRule="auto"/>
              <w:jc w:val="both"/>
              <w:outlineLvl w:val="1"/>
              <w:rPr>
                <w:rFonts w:eastAsia="Times New Roman"/>
                <w:bCs/>
                <w:sz w:val="26"/>
                <w:szCs w:val="26"/>
              </w:rPr>
            </w:pPr>
            <w:r w:rsidRPr="00E7060F">
              <w:rPr>
                <w:rFonts w:eastAsia="Times New Roman"/>
                <w:sz w:val="28"/>
                <w:szCs w:val="28"/>
              </w:rPr>
              <w:t>Phù hợp định hướng phát triển KH&amp;CN, nâng cao hiệu quả quản trị công và sử dụng nguồn lực.</w:t>
            </w:r>
          </w:p>
        </w:tc>
      </w:tr>
      <w:tr w:rsidR="008D60EE" w:rsidRPr="004475D1" w:rsidTr="00D56392">
        <w:tc>
          <w:tcPr>
            <w:tcW w:w="846" w:type="dxa"/>
            <w:vAlign w:val="center"/>
          </w:tcPr>
          <w:p w:rsidR="008D60EE" w:rsidRPr="004475D1" w:rsidRDefault="008D60EE" w:rsidP="008D60EE">
            <w:pPr>
              <w:spacing w:before="120" w:after="120" w:line="288" w:lineRule="auto"/>
              <w:jc w:val="center"/>
              <w:outlineLvl w:val="1"/>
              <w:rPr>
                <w:rFonts w:eastAsia="Times New Roman"/>
                <w:bCs/>
                <w:sz w:val="26"/>
                <w:szCs w:val="26"/>
              </w:rPr>
            </w:pPr>
            <w:r>
              <w:rPr>
                <w:rFonts w:eastAsia="Times New Roman"/>
                <w:bCs/>
                <w:sz w:val="26"/>
                <w:szCs w:val="26"/>
              </w:rPr>
              <w:t>4</w:t>
            </w:r>
          </w:p>
        </w:tc>
        <w:tc>
          <w:tcPr>
            <w:tcW w:w="2265" w:type="dxa"/>
          </w:tcPr>
          <w:p w:rsidR="008D60EE" w:rsidRPr="004475D1" w:rsidRDefault="008D60EE" w:rsidP="008D60EE">
            <w:pPr>
              <w:spacing w:before="120" w:after="120" w:line="288" w:lineRule="auto"/>
              <w:jc w:val="both"/>
              <w:outlineLvl w:val="1"/>
              <w:rPr>
                <w:rFonts w:eastAsia="Times New Roman"/>
                <w:bCs/>
                <w:sz w:val="26"/>
                <w:szCs w:val="26"/>
              </w:rPr>
            </w:pPr>
            <w:r w:rsidRPr="00E7060F">
              <w:rPr>
                <w:rFonts w:eastAsia="Times New Roman"/>
                <w:sz w:val="28"/>
                <w:szCs w:val="28"/>
              </w:rPr>
              <w:t>Luật Khoa học, công nghệ và đổi mới sáng tạo năm 2025</w:t>
            </w:r>
          </w:p>
        </w:tc>
        <w:tc>
          <w:tcPr>
            <w:tcW w:w="2696" w:type="dxa"/>
            <w:vAlign w:val="center"/>
          </w:tcPr>
          <w:p w:rsidR="008D60EE" w:rsidRPr="00E7060F" w:rsidRDefault="008D60EE" w:rsidP="008D60EE">
            <w:pPr>
              <w:rPr>
                <w:rFonts w:eastAsia="Times New Roman"/>
                <w:sz w:val="28"/>
                <w:szCs w:val="28"/>
              </w:rPr>
            </w:pPr>
            <w:r w:rsidRPr="00E7060F">
              <w:rPr>
                <w:rFonts w:eastAsia="Times New Roman"/>
                <w:sz w:val="28"/>
                <w:szCs w:val="28"/>
              </w:rPr>
              <w:t>Quy định nguyên tắc quản lý, sử dụng ngân sách cho KH,CN&amp;ĐMST; khuyến khích cơ chế tài chính đặc thù, chia sẻ rủi ro.</w:t>
            </w:r>
          </w:p>
        </w:tc>
        <w:tc>
          <w:tcPr>
            <w:tcW w:w="3975" w:type="dxa"/>
          </w:tcPr>
          <w:p w:rsidR="008D60EE" w:rsidRPr="004475D1" w:rsidRDefault="008D60EE" w:rsidP="008D60EE">
            <w:pPr>
              <w:spacing w:before="120" w:after="120" w:line="288" w:lineRule="auto"/>
              <w:jc w:val="both"/>
              <w:outlineLvl w:val="1"/>
              <w:rPr>
                <w:rFonts w:eastAsia="Times New Roman"/>
                <w:bCs/>
                <w:sz w:val="26"/>
                <w:szCs w:val="26"/>
              </w:rPr>
            </w:pPr>
            <w:r w:rsidRPr="00E7060F">
              <w:rPr>
                <w:rFonts w:eastAsia="Times New Roman"/>
                <w:sz w:val="28"/>
                <w:szCs w:val="28"/>
              </w:rPr>
              <w:t>Là căn cứ pháp lý chuyên ngành quan trọng để thiết kế cơ chế khoán chi.</w:t>
            </w:r>
          </w:p>
        </w:tc>
      </w:tr>
      <w:tr w:rsidR="008D60EE" w:rsidRPr="004475D1" w:rsidTr="00803B92">
        <w:tc>
          <w:tcPr>
            <w:tcW w:w="846" w:type="dxa"/>
            <w:vAlign w:val="center"/>
          </w:tcPr>
          <w:p w:rsidR="008D60EE" w:rsidRPr="004475D1" w:rsidRDefault="008D60EE" w:rsidP="008D60EE">
            <w:pPr>
              <w:spacing w:before="120" w:after="120" w:line="288" w:lineRule="auto"/>
              <w:jc w:val="center"/>
              <w:outlineLvl w:val="1"/>
              <w:rPr>
                <w:rFonts w:eastAsia="Times New Roman"/>
                <w:bCs/>
                <w:sz w:val="26"/>
                <w:szCs w:val="26"/>
              </w:rPr>
            </w:pPr>
            <w:r>
              <w:rPr>
                <w:rFonts w:eastAsia="Times New Roman"/>
                <w:bCs/>
                <w:sz w:val="26"/>
                <w:szCs w:val="26"/>
              </w:rPr>
              <w:t>5</w:t>
            </w:r>
          </w:p>
        </w:tc>
        <w:tc>
          <w:tcPr>
            <w:tcW w:w="2265" w:type="dxa"/>
          </w:tcPr>
          <w:p w:rsidR="008D60EE" w:rsidRPr="004475D1" w:rsidRDefault="008D60EE" w:rsidP="008D60EE">
            <w:pPr>
              <w:spacing w:before="120" w:after="120" w:line="288" w:lineRule="auto"/>
              <w:jc w:val="both"/>
              <w:outlineLvl w:val="1"/>
              <w:rPr>
                <w:rFonts w:eastAsia="Times New Roman"/>
                <w:bCs/>
                <w:sz w:val="26"/>
                <w:szCs w:val="26"/>
              </w:rPr>
            </w:pPr>
            <w:r w:rsidRPr="00E7060F">
              <w:rPr>
                <w:rFonts w:eastAsia="Times New Roman"/>
                <w:sz w:val="28"/>
                <w:szCs w:val="28"/>
              </w:rPr>
              <w:t>Luật Ngân sách nhà nước năm 2025</w:t>
            </w:r>
          </w:p>
        </w:tc>
        <w:tc>
          <w:tcPr>
            <w:tcW w:w="2696" w:type="dxa"/>
          </w:tcPr>
          <w:p w:rsidR="008D60EE" w:rsidRPr="004475D1" w:rsidRDefault="008D60EE" w:rsidP="008D60EE">
            <w:pPr>
              <w:spacing w:before="120" w:after="120" w:line="288" w:lineRule="auto"/>
              <w:jc w:val="both"/>
              <w:outlineLvl w:val="1"/>
              <w:rPr>
                <w:rFonts w:eastAsia="Times New Roman"/>
                <w:bCs/>
                <w:sz w:val="26"/>
                <w:szCs w:val="26"/>
              </w:rPr>
            </w:pPr>
            <w:r w:rsidRPr="00E7060F">
              <w:rPr>
                <w:rFonts w:eastAsia="Times New Roman"/>
                <w:sz w:val="28"/>
                <w:szCs w:val="28"/>
              </w:rPr>
              <w:t>Quy định lập, chấp hành, quyết toán, kiểm tra, giám sát ngân sách nhà nước.</w:t>
            </w:r>
          </w:p>
        </w:tc>
        <w:tc>
          <w:tcPr>
            <w:tcW w:w="3975" w:type="dxa"/>
            <w:vAlign w:val="center"/>
          </w:tcPr>
          <w:p w:rsidR="008D60EE" w:rsidRPr="00E7060F" w:rsidRDefault="008D60EE" w:rsidP="008D60EE">
            <w:pPr>
              <w:rPr>
                <w:rFonts w:eastAsia="Times New Roman"/>
                <w:sz w:val="28"/>
                <w:szCs w:val="28"/>
              </w:rPr>
            </w:pPr>
            <w:r w:rsidRPr="00E7060F">
              <w:rPr>
                <w:rFonts w:eastAsia="Times New Roman"/>
                <w:sz w:val="28"/>
                <w:szCs w:val="28"/>
              </w:rPr>
              <w:t>Dự thảo phải bảo đảm khoán chi nhưng vẫn đúng nguyên tắc quản lý ngân sách, quyết toán và trách nhiệm giải trình.</w:t>
            </w:r>
          </w:p>
        </w:tc>
      </w:tr>
      <w:tr w:rsidR="008D60EE" w:rsidRPr="004475D1" w:rsidTr="004475D1">
        <w:tc>
          <w:tcPr>
            <w:tcW w:w="846" w:type="dxa"/>
            <w:vAlign w:val="center"/>
          </w:tcPr>
          <w:p w:rsidR="008D60EE" w:rsidRPr="004475D1" w:rsidRDefault="008D60EE" w:rsidP="008D60EE">
            <w:pPr>
              <w:spacing w:before="120" w:after="120" w:line="288" w:lineRule="auto"/>
              <w:jc w:val="center"/>
              <w:outlineLvl w:val="1"/>
              <w:rPr>
                <w:rFonts w:eastAsia="Times New Roman"/>
                <w:bCs/>
                <w:sz w:val="26"/>
                <w:szCs w:val="26"/>
              </w:rPr>
            </w:pPr>
            <w:r>
              <w:rPr>
                <w:rFonts w:eastAsia="Times New Roman"/>
                <w:bCs/>
                <w:sz w:val="26"/>
                <w:szCs w:val="26"/>
              </w:rPr>
              <w:t>6</w:t>
            </w:r>
          </w:p>
        </w:tc>
        <w:tc>
          <w:tcPr>
            <w:tcW w:w="2265" w:type="dxa"/>
          </w:tcPr>
          <w:p w:rsidR="008D60EE" w:rsidRPr="004475D1" w:rsidRDefault="008D60EE" w:rsidP="008D60EE">
            <w:pPr>
              <w:spacing w:before="120" w:after="120" w:line="288" w:lineRule="auto"/>
              <w:jc w:val="both"/>
              <w:outlineLvl w:val="1"/>
              <w:rPr>
                <w:rFonts w:eastAsia="Times New Roman"/>
                <w:bCs/>
                <w:sz w:val="26"/>
                <w:szCs w:val="26"/>
              </w:rPr>
            </w:pPr>
            <w:r w:rsidRPr="00E7060F">
              <w:rPr>
                <w:rFonts w:eastAsia="Times New Roman"/>
                <w:sz w:val="28"/>
                <w:szCs w:val="28"/>
              </w:rPr>
              <w:t>Luật Thủ đô năm 2024</w:t>
            </w:r>
          </w:p>
        </w:tc>
        <w:tc>
          <w:tcPr>
            <w:tcW w:w="2696" w:type="dxa"/>
          </w:tcPr>
          <w:p w:rsidR="008D60EE" w:rsidRPr="004475D1" w:rsidRDefault="008D60EE" w:rsidP="008D60EE">
            <w:pPr>
              <w:spacing w:before="120" w:after="120" w:line="288" w:lineRule="auto"/>
              <w:jc w:val="both"/>
              <w:outlineLvl w:val="1"/>
              <w:rPr>
                <w:rFonts w:eastAsia="Times New Roman"/>
                <w:bCs/>
                <w:sz w:val="26"/>
                <w:szCs w:val="26"/>
              </w:rPr>
            </w:pPr>
            <w:r w:rsidRPr="00E7060F">
              <w:rPr>
                <w:rFonts w:eastAsia="Times New Roman"/>
                <w:sz w:val="28"/>
                <w:szCs w:val="28"/>
              </w:rPr>
              <w:t>Quy định chính sách, trách nhiệm xây dựng, phát triển, quản lý và bảo vệ Thủ đô</w:t>
            </w:r>
          </w:p>
        </w:tc>
        <w:tc>
          <w:tcPr>
            <w:tcW w:w="3975" w:type="dxa"/>
          </w:tcPr>
          <w:p w:rsidR="008D60EE" w:rsidRPr="004475D1" w:rsidRDefault="008D60EE" w:rsidP="008D60EE">
            <w:pPr>
              <w:spacing w:before="120" w:after="120" w:line="288" w:lineRule="auto"/>
              <w:jc w:val="both"/>
              <w:outlineLvl w:val="1"/>
              <w:rPr>
                <w:rFonts w:eastAsia="Times New Roman"/>
                <w:bCs/>
                <w:sz w:val="26"/>
                <w:szCs w:val="26"/>
              </w:rPr>
            </w:pPr>
            <w:r w:rsidRPr="00E7060F">
              <w:rPr>
                <w:rFonts w:eastAsia="Times New Roman"/>
                <w:sz w:val="28"/>
                <w:szCs w:val="28"/>
              </w:rPr>
              <w:t>Cần rà soát căn cứ viện dẫn trong dự thảo để bảo đảm đúng số hiệu, hiệu lực.</w:t>
            </w:r>
          </w:p>
        </w:tc>
      </w:tr>
      <w:tr w:rsidR="008D60EE" w:rsidRPr="004475D1" w:rsidTr="004475D1">
        <w:tc>
          <w:tcPr>
            <w:tcW w:w="846" w:type="dxa"/>
            <w:vAlign w:val="center"/>
          </w:tcPr>
          <w:p w:rsidR="008D60EE" w:rsidRPr="004475D1" w:rsidRDefault="008D60EE" w:rsidP="008D60EE">
            <w:pPr>
              <w:spacing w:before="120" w:after="120" w:line="288" w:lineRule="auto"/>
              <w:jc w:val="center"/>
              <w:outlineLvl w:val="1"/>
              <w:rPr>
                <w:rFonts w:eastAsia="Times New Roman"/>
                <w:bCs/>
                <w:sz w:val="26"/>
                <w:szCs w:val="26"/>
              </w:rPr>
            </w:pPr>
            <w:r>
              <w:rPr>
                <w:rFonts w:eastAsia="Times New Roman"/>
                <w:bCs/>
                <w:sz w:val="26"/>
                <w:szCs w:val="26"/>
              </w:rPr>
              <w:t>7</w:t>
            </w:r>
          </w:p>
        </w:tc>
        <w:tc>
          <w:tcPr>
            <w:tcW w:w="2265" w:type="dxa"/>
          </w:tcPr>
          <w:p w:rsidR="008D60EE" w:rsidRPr="004475D1" w:rsidRDefault="00F23B3E" w:rsidP="008D60EE">
            <w:pPr>
              <w:spacing w:before="120" w:after="120" w:line="288" w:lineRule="auto"/>
              <w:jc w:val="both"/>
              <w:outlineLvl w:val="1"/>
              <w:rPr>
                <w:rFonts w:eastAsia="Times New Roman"/>
                <w:bCs/>
                <w:sz w:val="26"/>
                <w:szCs w:val="26"/>
              </w:rPr>
            </w:pPr>
            <w:r w:rsidRPr="00E7060F">
              <w:rPr>
                <w:rFonts w:eastAsia="Times New Roman"/>
                <w:sz w:val="28"/>
                <w:szCs w:val="28"/>
              </w:rPr>
              <w:t>Nghị định về tài chính và đầu tư trong KH,CN&amp;ĐMST</w:t>
            </w:r>
          </w:p>
        </w:tc>
        <w:tc>
          <w:tcPr>
            <w:tcW w:w="2696" w:type="dxa"/>
          </w:tcPr>
          <w:p w:rsidR="008D60EE" w:rsidRPr="004475D1" w:rsidRDefault="00F23B3E" w:rsidP="008D60EE">
            <w:pPr>
              <w:spacing w:before="120" w:after="120" w:line="288" w:lineRule="auto"/>
              <w:jc w:val="both"/>
              <w:outlineLvl w:val="1"/>
              <w:rPr>
                <w:rFonts w:eastAsia="Times New Roman"/>
                <w:bCs/>
                <w:sz w:val="26"/>
                <w:szCs w:val="26"/>
              </w:rPr>
            </w:pPr>
            <w:r w:rsidRPr="00E7060F">
              <w:rPr>
                <w:rFonts w:eastAsia="Times New Roman"/>
                <w:sz w:val="28"/>
                <w:szCs w:val="28"/>
              </w:rPr>
              <w:t>Quy định chi tiết cơ chế tài chính, đầu tư, khoán chi, xử lý kinh phí nhiệm vụ.</w:t>
            </w:r>
          </w:p>
        </w:tc>
        <w:tc>
          <w:tcPr>
            <w:tcW w:w="3975" w:type="dxa"/>
          </w:tcPr>
          <w:p w:rsidR="008D60EE" w:rsidRPr="004475D1" w:rsidRDefault="00F23B3E" w:rsidP="008D60EE">
            <w:pPr>
              <w:spacing w:before="120" w:after="120" w:line="288" w:lineRule="auto"/>
              <w:jc w:val="both"/>
              <w:outlineLvl w:val="1"/>
              <w:rPr>
                <w:rFonts w:eastAsia="Times New Roman"/>
                <w:bCs/>
                <w:sz w:val="26"/>
                <w:szCs w:val="26"/>
              </w:rPr>
            </w:pPr>
            <w:r w:rsidRPr="00E7060F">
              <w:rPr>
                <w:rFonts w:eastAsia="Times New Roman"/>
                <w:sz w:val="28"/>
                <w:szCs w:val="28"/>
              </w:rPr>
              <w:t>Là căn cứ trực tiếp cho các điều về phương thức khoán chi, thanh toán, quyết toán, xử lý kinh phí.</w:t>
            </w:r>
          </w:p>
        </w:tc>
      </w:tr>
      <w:tr w:rsidR="008D60EE" w:rsidRPr="004475D1" w:rsidTr="004475D1">
        <w:tc>
          <w:tcPr>
            <w:tcW w:w="846" w:type="dxa"/>
            <w:vAlign w:val="center"/>
          </w:tcPr>
          <w:p w:rsidR="008D60EE" w:rsidRDefault="00F23B3E" w:rsidP="008D60EE">
            <w:pPr>
              <w:spacing w:before="120" w:after="120" w:line="288" w:lineRule="auto"/>
              <w:jc w:val="center"/>
              <w:outlineLvl w:val="1"/>
              <w:rPr>
                <w:rFonts w:eastAsia="Times New Roman"/>
                <w:bCs/>
                <w:sz w:val="26"/>
                <w:szCs w:val="26"/>
              </w:rPr>
            </w:pPr>
            <w:r>
              <w:rPr>
                <w:rFonts w:eastAsia="Times New Roman"/>
                <w:bCs/>
                <w:sz w:val="26"/>
                <w:szCs w:val="26"/>
              </w:rPr>
              <w:t>8</w:t>
            </w:r>
          </w:p>
        </w:tc>
        <w:tc>
          <w:tcPr>
            <w:tcW w:w="2265" w:type="dxa"/>
          </w:tcPr>
          <w:p w:rsidR="008D60EE" w:rsidRPr="004475D1" w:rsidRDefault="00F23B3E" w:rsidP="008D60EE">
            <w:pPr>
              <w:spacing w:before="120" w:after="120" w:line="288" w:lineRule="auto"/>
              <w:jc w:val="both"/>
              <w:outlineLvl w:val="1"/>
              <w:rPr>
                <w:rFonts w:eastAsia="Times New Roman"/>
                <w:bCs/>
                <w:sz w:val="26"/>
                <w:szCs w:val="26"/>
              </w:rPr>
            </w:pPr>
            <w:r w:rsidRPr="00E7060F">
              <w:rPr>
                <w:rFonts w:eastAsia="Times New Roman"/>
                <w:sz w:val="28"/>
                <w:szCs w:val="28"/>
              </w:rPr>
              <w:t>Nghị định về chương trình, nhiệm vụ KH,CN&amp;ĐMST</w:t>
            </w:r>
          </w:p>
        </w:tc>
        <w:tc>
          <w:tcPr>
            <w:tcW w:w="2696" w:type="dxa"/>
          </w:tcPr>
          <w:p w:rsidR="008D60EE" w:rsidRPr="004475D1" w:rsidRDefault="00F23B3E" w:rsidP="008D60EE">
            <w:pPr>
              <w:spacing w:before="120" w:after="120" w:line="288" w:lineRule="auto"/>
              <w:jc w:val="both"/>
              <w:outlineLvl w:val="1"/>
              <w:rPr>
                <w:rFonts w:eastAsia="Times New Roman"/>
                <w:bCs/>
                <w:sz w:val="26"/>
                <w:szCs w:val="26"/>
              </w:rPr>
            </w:pPr>
            <w:r w:rsidRPr="00E7060F">
              <w:rPr>
                <w:rFonts w:eastAsia="Times New Roman"/>
                <w:sz w:val="28"/>
                <w:szCs w:val="28"/>
              </w:rPr>
              <w:t>Quy định quản lý nhiệm vụ, đánh giá, nghiệm thu, quản trị rủi ro.</w:t>
            </w:r>
          </w:p>
        </w:tc>
        <w:tc>
          <w:tcPr>
            <w:tcW w:w="3975" w:type="dxa"/>
          </w:tcPr>
          <w:p w:rsidR="008D60EE" w:rsidRPr="004475D1" w:rsidRDefault="00F23B3E" w:rsidP="008D60EE">
            <w:pPr>
              <w:spacing w:before="120" w:after="120" w:line="288" w:lineRule="auto"/>
              <w:jc w:val="both"/>
              <w:outlineLvl w:val="1"/>
              <w:rPr>
                <w:rFonts w:eastAsia="Times New Roman"/>
                <w:bCs/>
                <w:sz w:val="26"/>
                <w:szCs w:val="26"/>
              </w:rPr>
            </w:pPr>
            <w:r w:rsidRPr="00E7060F">
              <w:rPr>
                <w:rFonts w:eastAsia="Times New Roman"/>
                <w:sz w:val="28"/>
                <w:szCs w:val="28"/>
              </w:rPr>
              <w:t>Liên quan đến điều kiện khoán, đánh giá kết quả, kiểm tra, giám sát, xử lý rủi ro.</w:t>
            </w:r>
          </w:p>
        </w:tc>
      </w:tr>
      <w:tr w:rsidR="00F23B3E" w:rsidRPr="004475D1" w:rsidTr="00CF2004">
        <w:tc>
          <w:tcPr>
            <w:tcW w:w="846" w:type="dxa"/>
            <w:vAlign w:val="center"/>
          </w:tcPr>
          <w:p w:rsidR="00F23B3E" w:rsidRDefault="00F23B3E" w:rsidP="00F23B3E">
            <w:pPr>
              <w:spacing w:before="120" w:after="120" w:line="288" w:lineRule="auto"/>
              <w:jc w:val="center"/>
              <w:outlineLvl w:val="1"/>
              <w:rPr>
                <w:rFonts w:eastAsia="Times New Roman"/>
                <w:bCs/>
                <w:sz w:val="26"/>
                <w:szCs w:val="26"/>
              </w:rPr>
            </w:pPr>
            <w:r>
              <w:rPr>
                <w:rFonts w:eastAsia="Times New Roman"/>
                <w:bCs/>
                <w:sz w:val="26"/>
                <w:szCs w:val="26"/>
              </w:rPr>
              <w:t>9</w:t>
            </w:r>
          </w:p>
        </w:tc>
        <w:tc>
          <w:tcPr>
            <w:tcW w:w="2265" w:type="dxa"/>
            <w:vAlign w:val="center"/>
          </w:tcPr>
          <w:p w:rsidR="00F23B3E" w:rsidRPr="00E7060F" w:rsidRDefault="00F23B3E" w:rsidP="00F23B3E">
            <w:pPr>
              <w:rPr>
                <w:rFonts w:eastAsia="Times New Roman"/>
                <w:sz w:val="28"/>
                <w:szCs w:val="28"/>
              </w:rPr>
            </w:pPr>
            <w:r w:rsidRPr="00E7060F">
              <w:rPr>
                <w:rFonts w:eastAsia="Times New Roman"/>
                <w:sz w:val="28"/>
                <w:szCs w:val="28"/>
              </w:rPr>
              <w:t>ĐMST, khởi nghiệp sáng tạo.</w:t>
            </w:r>
          </w:p>
        </w:tc>
        <w:tc>
          <w:tcPr>
            <w:tcW w:w="2696" w:type="dxa"/>
          </w:tcPr>
          <w:p w:rsidR="00F23B3E" w:rsidRPr="004475D1" w:rsidRDefault="00F23B3E" w:rsidP="00F23B3E">
            <w:pPr>
              <w:spacing w:before="120" w:after="120" w:line="288" w:lineRule="auto"/>
              <w:jc w:val="both"/>
              <w:outlineLvl w:val="1"/>
              <w:rPr>
                <w:rFonts w:eastAsia="Times New Roman"/>
                <w:bCs/>
                <w:sz w:val="26"/>
                <w:szCs w:val="26"/>
              </w:rPr>
            </w:pPr>
            <w:r w:rsidRPr="00E7060F">
              <w:rPr>
                <w:rFonts w:eastAsia="Times New Roman"/>
                <w:sz w:val="28"/>
                <w:szCs w:val="28"/>
              </w:rPr>
              <w:t>Quy định hỗ trợ đổi mới sáng tạo, doanh nghiệp, trung tâm ĐMST, khởi nghiệp sáng tạo.</w:t>
            </w:r>
          </w:p>
        </w:tc>
        <w:tc>
          <w:tcPr>
            <w:tcW w:w="3975" w:type="dxa"/>
            <w:vAlign w:val="center"/>
          </w:tcPr>
          <w:p w:rsidR="00F23B3E" w:rsidRPr="00E7060F" w:rsidRDefault="00F23B3E" w:rsidP="00F23B3E">
            <w:pPr>
              <w:rPr>
                <w:rFonts w:eastAsia="Times New Roman"/>
                <w:sz w:val="28"/>
                <w:szCs w:val="28"/>
              </w:rPr>
            </w:pPr>
            <w:r w:rsidRPr="00E7060F">
              <w:rPr>
                <w:rFonts w:eastAsia="Times New Roman"/>
                <w:sz w:val="28"/>
                <w:szCs w:val="28"/>
              </w:rPr>
              <w:t>Bảo đảm cơ chế khoán chi hỗ trợ đúng đối tượng, thúc đẩy thương mại hóa và ứng dụng kết quả.</w:t>
            </w:r>
          </w:p>
        </w:tc>
      </w:tr>
      <w:tr w:rsidR="00F23B3E" w:rsidRPr="004475D1" w:rsidTr="004475D1">
        <w:tc>
          <w:tcPr>
            <w:tcW w:w="846" w:type="dxa"/>
            <w:vAlign w:val="center"/>
          </w:tcPr>
          <w:p w:rsidR="00F23B3E" w:rsidRDefault="00F23B3E" w:rsidP="00F23B3E">
            <w:pPr>
              <w:spacing w:before="120" w:after="120" w:line="288" w:lineRule="auto"/>
              <w:jc w:val="center"/>
              <w:outlineLvl w:val="1"/>
              <w:rPr>
                <w:rFonts w:eastAsia="Times New Roman"/>
                <w:bCs/>
                <w:sz w:val="26"/>
                <w:szCs w:val="26"/>
              </w:rPr>
            </w:pPr>
            <w:r>
              <w:rPr>
                <w:rFonts w:eastAsia="Times New Roman"/>
                <w:bCs/>
                <w:sz w:val="26"/>
                <w:szCs w:val="26"/>
              </w:rPr>
              <w:lastRenderedPageBreak/>
              <w:t>10</w:t>
            </w:r>
          </w:p>
        </w:tc>
        <w:tc>
          <w:tcPr>
            <w:tcW w:w="2265" w:type="dxa"/>
          </w:tcPr>
          <w:p w:rsidR="00F23B3E" w:rsidRPr="004475D1" w:rsidRDefault="00F23B3E" w:rsidP="00F23B3E">
            <w:pPr>
              <w:spacing w:before="120" w:after="120" w:line="288" w:lineRule="auto"/>
              <w:jc w:val="both"/>
              <w:outlineLvl w:val="1"/>
              <w:rPr>
                <w:rFonts w:eastAsia="Times New Roman"/>
                <w:bCs/>
                <w:sz w:val="26"/>
                <w:szCs w:val="26"/>
              </w:rPr>
            </w:pPr>
            <w:r w:rsidRPr="00E7060F">
              <w:rPr>
                <w:rFonts w:eastAsia="Times New Roman"/>
                <w:sz w:val="28"/>
                <w:szCs w:val="28"/>
              </w:rPr>
              <w:t>Thông tư hướng dẫn lập dự toán, quản lý, sử dụng, quyết toán kinh phí nhiệm vụ KH,CN&amp;ĐMST</w:t>
            </w:r>
          </w:p>
        </w:tc>
        <w:tc>
          <w:tcPr>
            <w:tcW w:w="2696" w:type="dxa"/>
          </w:tcPr>
          <w:p w:rsidR="00F23B3E" w:rsidRPr="004475D1" w:rsidRDefault="00F23B3E" w:rsidP="00F23B3E">
            <w:pPr>
              <w:spacing w:before="120" w:after="120" w:line="288" w:lineRule="auto"/>
              <w:jc w:val="both"/>
              <w:outlineLvl w:val="1"/>
              <w:rPr>
                <w:rFonts w:eastAsia="Times New Roman"/>
                <w:bCs/>
                <w:sz w:val="26"/>
                <w:szCs w:val="26"/>
              </w:rPr>
            </w:pPr>
            <w:r w:rsidRPr="00E7060F">
              <w:rPr>
                <w:rFonts w:eastAsia="Times New Roman"/>
                <w:sz w:val="28"/>
                <w:szCs w:val="28"/>
              </w:rPr>
              <w:t>Quy định nội dung chi, định mức, hồ sơ, trình tự quản lý và quyết toán kinh phí.</w:t>
            </w:r>
          </w:p>
        </w:tc>
        <w:tc>
          <w:tcPr>
            <w:tcW w:w="3975" w:type="dxa"/>
          </w:tcPr>
          <w:p w:rsidR="00F23B3E" w:rsidRPr="004475D1" w:rsidRDefault="00F23B3E" w:rsidP="00F23B3E">
            <w:pPr>
              <w:spacing w:before="120" w:after="120" w:line="288" w:lineRule="auto"/>
              <w:jc w:val="both"/>
              <w:outlineLvl w:val="1"/>
              <w:rPr>
                <w:rFonts w:eastAsia="Times New Roman"/>
                <w:bCs/>
                <w:sz w:val="26"/>
                <w:szCs w:val="26"/>
              </w:rPr>
            </w:pPr>
            <w:r w:rsidRPr="00E7060F">
              <w:rPr>
                <w:rFonts w:eastAsia="Times New Roman"/>
                <w:sz w:val="28"/>
                <w:szCs w:val="28"/>
              </w:rPr>
              <w:t>Cần đối chiếu chi tiết khi hoàn thiện điều khoản về lập dự toán, hồ sơ thanh toán/quyết toán.</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E7060F" w:rsidRPr="00E7060F" w:rsidTr="008D60EE">
        <w:trPr>
          <w:tblHeader/>
          <w:tblCellSpacing w:w="15" w:type="dxa"/>
        </w:trPr>
        <w:tc>
          <w:tcPr>
            <w:tcW w:w="0" w:type="auto"/>
            <w:vAlign w:val="center"/>
          </w:tcPr>
          <w:p w:rsidR="00E7060F" w:rsidRPr="00E7060F" w:rsidRDefault="00E7060F" w:rsidP="007B77CE">
            <w:pPr>
              <w:spacing w:after="0" w:line="240" w:lineRule="auto"/>
              <w:rPr>
                <w:rFonts w:eastAsia="Times New Roman" w:cs="Times New Roman"/>
                <w:b/>
                <w:bCs/>
                <w:szCs w:val="28"/>
              </w:rPr>
            </w:pPr>
          </w:p>
        </w:tc>
        <w:tc>
          <w:tcPr>
            <w:tcW w:w="0" w:type="auto"/>
            <w:vAlign w:val="center"/>
          </w:tcPr>
          <w:p w:rsidR="00E7060F" w:rsidRPr="00E7060F" w:rsidRDefault="00E7060F" w:rsidP="00E7060F">
            <w:pPr>
              <w:spacing w:after="0" w:line="240" w:lineRule="auto"/>
              <w:jc w:val="center"/>
              <w:rPr>
                <w:rFonts w:eastAsia="Times New Roman" w:cs="Times New Roman"/>
                <w:b/>
                <w:bCs/>
                <w:szCs w:val="28"/>
              </w:rPr>
            </w:pPr>
          </w:p>
        </w:tc>
        <w:tc>
          <w:tcPr>
            <w:tcW w:w="0" w:type="auto"/>
            <w:vAlign w:val="center"/>
          </w:tcPr>
          <w:p w:rsidR="00E7060F" w:rsidRPr="00E7060F" w:rsidRDefault="00E7060F" w:rsidP="00E7060F">
            <w:pPr>
              <w:spacing w:after="0" w:line="240" w:lineRule="auto"/>
              <w:jc w:val="center"/>
              <w:rPr>
                <w:rFonts w:eastAsia="Times New Roman" w:cs="Times New Roman"/>
                <w:b/>
                <w:bCs/>
                <w:szCs w:val="28"/>
              </w:rPr>
            </w:pPr>
          </w:p>
        </w:tc>
        <w:tc>
          <w:tcPr>
            <w:tcW w:w="0" w:type="auto"/>
            <w:vAlign w:val="center"/>
          </w:tcPr>
          <w:p w:rsidR="00E7060F" w:rsidRPr="00E7060F" w:rsidRDefault="00E7060F" w:rsidP="00E7060F">
            <w:pPr>
              <w:spacing w:after="0" w:line="240" w:lineRule="auto"/>
              <w:jc w:val="center"/>
              <w:rPr>
                <w:rFonts w:eastAsia="Times New Roman" w:cs="Times New Roman"/>
                <w:b/>
                <w:bCs/>
                <w:szCs w:val="28"/>
              </w:rPr>
            </w:pPr>
          </w:p>
        </w:tc>
      </w:tr>
    </w:tbl>
    <w:p w:rsidR="00F33841" w:rsidRPr="00AF6951" w:rsidRDefault="00AF6951" w:rsidP="00AF6951">
      <w:pPr>
        <w:jc w:val="center"/>
        <w:rPr>
          <w:rFonts w:cs="Times New Roman"/>
          <w:b/>
          <w:szCs w:val="28"/>
        </w:rPr>
      </w:pPr>
      <w:r>
        <w:rPr>
          <w:rFonts w:cs="Times New Roman"/>
          <w:szCs w:val="28"/>
        </w:rPr>
        <w:t xml:space="preserve">                                                            </w:t>
      </w:r>
      <w:r w:rsidRPr="00AF6951">
        <w:rPr>
          <w:rFonts w:cs="Times New Roman"/>
          <w:b/>
          <w:szCs w:val="28"/>
        </w:rPr>
        <w:t>SỞ KHOA HỌC VÀ CÔNG NGHỆ</w:t>
      </w:r>
    </w:p>
    <w:sectPr w:rsidR="00F33841" w:rsidRPr="00AF6951" w:rsidSect="0038411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0F"/>
    <w:rsid w:val="000954E9"/>
    <w:rsid w:val="00384117"/>
    <w:rsid w:val="004475D1"/>
    <w:rsid w:val="007B77CE"/>
    <w:rsid w:val="00836598"/>
    <w:rsid w:val="008D60EE"/>
    <w:rsid w:val="00AF6951"/>
    <w:rsid w:val="00C23FFB"/>
    <w:rsid w:val="00E7060F"/>
    <w:rsid w:val="00F23B3E"/>
    <w:rsid w:val="00F33841"/>
    <w:rsid w:val="00F3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BF1B9E-DFCB-4910-9FDA-0FF6C312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23FFB"/>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2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dc:creator>
  <cp:keywords/>
  <dc:description/>
  <cp:lastModifiedBy>NEW</cp:lastModifiedBy>
  <cp:revision>2</cp:revision>
  <dcterms:created xsi:type="dcterms:W3CDTF">2026-06-05T07:52:00Z</dcterms:created>
  <dcterms:modified xsi:type="dcterms:W3CDTF">2026-06-05T07:52:00Z</dcterms:modified>
</cp:coreProperties>
</file>